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CB1" w:rsidRDefault="004B2CB1" w:rsidP="004B2CB1">
      <w:pPr>
        <w:pStyle w:val="TableParagraph"/>
        <w:ind w:left="1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6.1.2. The effective leadership is visible in various institutional practices such as decentralization and participative management.</w:t>
      </w:r>
    </w:p>
    <w:p w:rsidR="004B2CB1" w:rsidRDefault="004B2CB1" w:rsidP="004B2CB1">
      <w:pPr>
        <w:pStyle w:val="TableParagraph"/>
        <w:ind w:left="109"/>
        <w:rPr>
          <w:rFonts w:ascii="Times New Roman" w:hAnsi="Times New Roman" w:cs="Times New Roman"/>
          <w:b/>
          <w:sz w:val="24"/>
          <w:szCs w:val="24"/>
        </w:rPr>
      </w:pPr>
    </w:p>
    <w:p w:rsidR="00F21CB5" w:rsidRDefault="00F21CB5"/>
    <w:sectPr w:rsidR="00F21C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B2CB1"/>
    <w:rsid w:val="004B2CB1"/>
    <w:rsid w:val="00F21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4B2CB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4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2023-02-01T13:33:00Z</dcterms:created>
  <dcterms:modified xsi:type="dcterms:W3CDTF">2023-02-01T13:33:00Z</dcterms:modified>
</cp:coreProperties>
</file>